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5A2EBB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135D9C">
        <w:rPr>
          <w:rFonts w:hint="eastAsia"/>
          <w:b/>
          <w:sz w:val="30"/>
          <w:szCs w:val="30"/>
        </w:rPr>
        <w:t>十</w:t>
      </w:r>
      <w:r w:rsidR="00B84486">
        <w:rPr>
          <w:rFonts w:hint="eastAsia"/>
          <w:b/>
          <w:sz w:val="30"/>
          <w:szCs w:val="30"/>
        </w:rPr>
        <w:t>二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B84486">
        <w:rPr>
          <w:rFonts w:asciiTheme="minorEastAsia" w:hAnsiTheme="minorEastAsia"/>
          <w:sz w:val="24"/>
          <w:szCs w:val="24"/>
        </w:rPr>
        <w:t>6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B84486">
        <w:rPr>
          <w:rFonts w:asciiTheme="minorEastAsia" w:hAnsiTheme="minorEastAsia"/>
          <w:sz w:val="24"/>
          <w:szCs w:val="24"/>
        </w:rPr>
        <w:t>7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B84486">
        <w:rPr>
          <w:rFonts w:asciiTheme="minorEastAsia" w:hAnsiTheme="minorEastAsia"/>
          <w:sz w:val="24"/>
          <w:szCs w:val="24"/>
        </w:rPr>
        <w:t>1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135D9C" w:rsidRPr="00A12287">
        <w:rPr>
          <w:rFonts w:asciiTheme="minorEastAsia" w:hAnsiTheme="minorEastAsia" w:hint="eastAsia"/>
          <w:sz w:val="24"/>
          <w:szCs w:val="24"/>
        </w:rPr>
        <w:t>下</w:t>
      </w:r>
      <w:r w:rsidR="00F30AF8" w:rsidRPr="00A12287">
        <w:rPr>
          <w:rFonts w:asciiTheme="minorEastAsia" w:hAnsiTheme="minorEastAsia" w:hint="eastAsia"/>
          <w:sz w:val="24"/>
          <w:szCs w:val="24"/>
        </w:rPr>
        <w:t>午</w:t>
      </w:r>
      <w:r w:rsidR="00135D9C" w:rsidRPr="00A12287">
        <w:rPr>
          <w:rFonts w:asciiTheme="minorEastAsia" w:hAnsiTheme="minorEastAsia"/>
          <w:sz w:val="24"/>
          <w:szCs w:val="24"/>
        </w:rPr>
        <w:t>14</w:t>
      </w:r>
      <w:r w:rsidR="00E02BEB" w:rsidRPr="00A12287">
        <w:rPr>
          <w:rFonts w:asciiTheme="minorEastAsia" w:hAnsiTheme="minorEastAsia" w:hint="eastAsia"/>
          <w:sz w:val="24"/>
          <w:szCs w:val="24"/>
        </w:rPr>
        <w:t>:</w:t>
      </w:r>
      <w:r w:rsidR="001458D2">
        <w:rPr>
          <w:rFonts w:asciiTheme="minorEastAsia" w:hAnsiTheme="minorEastAsia"/>
          <w:sz w:val="24"/>
          <w:szCs w:val="24"/>
        </w:rPr>
        <w:t>3</w:t>
      </w:r>
      <w:r w:rsidR="00801A45" w:rsidRPr="00A12287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55636F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 w:rsidRPr="00A12287">
        <w:rPr>
          <w:rFonts w:asciiTheme="minorEastAsia" w:hAnsiTheme="minorEastAsia" w:hint="eastAsia"/>
          <w:sz w:val="24"/>
          <w:szCs w:val="24"/>
        </w:rPr>
        <w:t>后主楼</w:t>
      </w:r>
      <w:r w:rsidR="00BB6F72" w:rsidRPr="00A12287">
        <w:rPr>
          <w:rFonts w:asciiTheme="minorEastAsia" w:hAnsiTheme="minorEastAsia" w:hint="eastAsia"/>
          <w:sz w:val="24"/>
          <w:szCs w:val="24"/>
        </w:rPr>
        <w:t>1</w:t>
      </w:r>
      <w:r w:rsidR="00BB6F72" w:rsidRPr="00A12287">
        <w:rPr>
          <w:rFonts w:asciiTheme="minorEastAsia" w:hAnsiTheme="minorEastAsia"/>
          <w:sz w:val="24"/>
          <w:szCs w:val="24"/>
        </w:rPr>
        <w:t>610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</w:t>
      </w: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791"/>
        <w:gridCol w:w="4820"/>
        <w:gridCol w:w="963"/>
      </w:tblGrid>
      <w:tr w:rsidR="0094439B" w:rsidRPr="00477779" w:rsidTr="001458D2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91" w:type="dxa"/>
            <w:vAlign w:val="center"/>
          </w:tcPr>
          <w:p w:rsidR="0094439B" w:rsidRPr="00477779" w:rsidRDefault="001458D2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4820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6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1458D2" w:rsidRPr="00E40B05" w:rsidTr="00EA2210">
        <w:trPr>
          <w:trHeight w:val="848"/>
          <w:jc w:val="center"/>
        </w:trPr>
        <w:tc>
          <w:tcPr>
            <w:tcW w:w="641" w:type="dxa"/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范瑞珈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制度型开放政策与企业供应链韧性——来自跨境电商综合试验区的证据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458D2" w:rsidRPr="00E40B05" w:rsidTr="001458D2">
        <w:trPr>
          <w:trHeight w:val="804"/>
          <w:jc w:val="center"/>
        </w:trPr>
        <w:tc>
          <w:tcPr>
            <w:tcW w:w="641" w:type="dxa"/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刘逍婉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贸易政策不确定性对中国企业投资策略的影响——基于产业链上游度的实证研究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458D2" w:rsidRPr="00E40B05" w:rsidTr="00EA2210">
        <w:trPr>
          <w:trHeight w:val="872"/>
          <w:jc w:val="center"/>
        </w:trPr>
        <w:tc>
          <w:tcPr>
            <w:tcW w:w="641" w:type="dxa"/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罗曼琳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子女早期随迁与代际流动：基于出生队列差异的研究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458D2" w:rsidRPr="00E40B05" w:rsidTr="001458D2">
        <w:trPr>
          <w:trHeight w:val="469"/>
          <w:jc w:val="center"/>
        </w:trPr>
        <w:tc>
          <w:tcPr>
            <w:tcW w:w="641" w:type="dxa"/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毛佳怡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Cross-Border Supply Chain Disruptions and Breakthrough Innovation: Evidence from an LLM-Based Measure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458D2" w:rsidRPr="00E40B05" w:rsidTr="00EA2210">
        <w:trPr>
          <w:trHeight w:val="898"/>
          <w:jc w:val="center"/>
        </w:trPr>
        <w:tc>
          <w:tcPr>
            <w:tcW w:w="641" w:type="dxa"/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唐楚林，何铠辰，杨弃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老龄化、自动化转型与经济增长——基于内生技术变革视角的检验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58D2" w:rsidRPr="00E40B05" w:rsidTr="00EA2210">
        <w:trPr>
          <w:trHeight w:val="826"/>
          <w:jc w:val="center"/>
        </w:trPr>
        <w:tc>
          <w:tcPr>
            <w:tcW w:w="641" w:type="dxa"/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王乙婷，熊思凯，王艺涵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希望还是焦虑：环境情绪信息对公众环保支付意愿与真实捐赠行为的影响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458D2" w:rsidRPr="00E40B05" w:rsidTr="001458D2">
        <w:trPr>
          <w:trHeight w:val="469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杨弃，唐楚林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 xml:space="preserve">禀赋差异、教学适宜性与人力资本积累 </w:t>
            </w: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br/>
              <w:t>——来自西部县中“以东带西”模式的微观证据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1458D2" w:rsidRPr="00E40B05" w:rsidTr="001458D2">
        <w:trPr>
          <w:trHeight w:val="46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2" w:rsidRPr="00E40B05" w:rsidRDefault="001458D2" w:rsidP="001458D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郑毅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D2" w:rsidRPr="001458D2" w:rsidRDefault="001458D2" w:rsidP="00145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58D2">
              <w:rPr>
                <w:rFonts w:asciiTheme="minorEastAsia" w:hAnsiTheme="minorEastAsia" w:hint="eastAsia"/>
                <w:sz w:val="24"/>
                <w:szCs w:val="24"/>
              </w:rPr>
              <w:t>Green Bond Issuance and Common Institutional Ownership:Evidence from China’s Staggered DID Approach</w:t>
            </w:r>
          </w:p>
        </w:tc>
        <w:tc>
          <w:tcPr>
            <w:tcW w:w="963" w:type="dxa"/>
          </w:tcPr>
          <w:p w:rsidR="001458D2" w:rsidRPr="00E40B05" w:rsidRDefault="001458D2" w:rsidP="001458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E9424D" w:rsidRDefault="00DD349D" w:rsidP="00130DE9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</w:t>
      </w:r>
      <w:r w:rsidR="004D2D32"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E9424D" w:rsidRPr="002B7673" w:rsidRDefault="00E9424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E9424D">
        <w:rPr>
          <w:rFonts w:asciiTheme="minorEastAsia" w:hAnsiTheme="minorEastAsia" w:cs="宋体" w:hint="eastAsia"/>
          <w:kern w:val="0"/>
          <w:sz w:val="24"/>
          <w:szCs w:val="24"/>
        </w:rPr>
        <w:t>专家签字：</w:t>
      </w:r>
    </w:p>
    <w:sectPr w:rsidR="00E9424D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BB" w:rsidRDefault="005A2EBB" w:rsidP="007A3A5D">
      <w:r>
        <w:separator/>
      </w:r>
    </w:p>
  </w:endnote>
  <w:endnote w:type="continuationSeparator" w:id="0">
    <w:p w:rsidR="005A2EBB" w:rsidRDefault="005A2EBB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BB" w:rsidRDefault="005A2EBB" w:rsidP="007A3A5D">
      <w:r>
        <w:separator/>
      </w:r>
    </w:p>
  </w:footnote>
  <w:footnote w:type="continuationSeparator" w:id="0">
    <w:p w:rsidR="005A2EBB" w:rsidRDefault="005A2EBB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D539F"/>
    <w:rsid w:val="000E6C33"/>
    <w:rsid w:val="000F3D67"/>
    <w:rsid w:val="00102DD4"/>
    <w:rsid w:val="00106955"/>
    <w:rsid w:val="001075E4"/>
    <w:rsid w:val="00111341"/>
    <w:rsid w:val="0011729D"/>
    <w:rsid w:val="001256AB"/>
    <w:rsid w:val="00130DE9"/>
    <w:rsid w:val="00132890"/>
    <w:rsid w:val="00135D9C"/>
    <w:rsid w:val="001458D2"/>
    <w:rsid w:val="00162886"/>
    <w:rsid w:val="00162AF9"/>
    <w:rsid w:val="0016372B"/>
    <w:rsid w:val="001763FD"/>
    <w:rsid w:val="00191483"/>
    <w:rsid w:val="001927D7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5534A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235BE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B2896"/>
    <w:rsid w:val="003E5B0C"/>
    <w:rsid w:val="003F5963"/>
    <w:rsid w:val="004000ED"/>
    <w:rsid w:val="004016D4"/>
    <w:rsid w:val="0041528E"/>
    <w:rsid w:val="00426412"/>
    <w:rsid w:val="004473B1"/>
    <w:rsid w:val="004524FF"/>
    <w:rsid w:val="00462941"/>
    <w:rsid w:val="00463062"/>
    <w:rsid w:val="00477779"/>
    <w:rsid w:val="004919E2"/>
    <w:rsid w:val="004A47A3"/>
    <w:rsid w:val="004A5CA4"/>
    <w:rsid w:val="004B7F3B"/>
    <w:rsid w:val="004C1C47"/>
    <w:rsid w:val="004D2CA6"/>
    <w:rsid w:val="004D2D32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A2EBB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24EE3"/>
    <w:rsid w:val="00730C9E"/>
    <w:rsid w:val="00741628"/>
    <w:rsid w:val="00756757"/>
    <w:rsid w:val="00756A92"/>
    <w:rsid w:val="0075789C"/>
    <w:rsid w:val="007579B2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074F8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D19C0"/>
    <w:rsid w:val="009D3525"/>
    <w:rsid w:val="009D4911"/>
    <w:rsid w:val="009E16EC"/>
    <w:rsid w:val="009E1E5A"/>
    <w:rsid w:val="009E5E19"/>
    <w:rsid w:val="009F2BC6"/>
    <w:rsid w:val="00A07B69"/>
    <w:rsid w:val="00A12287"/>
    <w:rsid w:val="00A34E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E1932"/>
    <w:rsid w:val="00AF3A58"/>
    <w:rsid w:val="00B00143"/>
    <w:rsid w:val="00B34287"/>
    <w:rsid w:val="00B37B7A"/>
    <w:rsid w:val="00B75F08"/>
    <w:rsid w:val="00B760F9"/>
    <w:rsid w:val="00B84486"/>
    <w:rsid w:val="00B91E73"/>
    <w:rsid w:val="00BA0975"/>
    <w:rsid w:val="00BB6F72"/>
    <w:rsid w:val="00BD42A2"/>
    <w:rsid w:val="00BD4FA5"/>
    <w:rsid w:val="00BD51FB"/>
    <w:rsid w:val="00BD7FA3"/>
    <w:rsid w:val="00C0600B"/>
    <w:rsid w:val="00C06847"/>
    <w:rsid w:val="00C16C8B"/>
    <w:rsid w:val="00C21FEF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0290"/>
    <w:rsid w:val="00DD349D"/>
    <w:rsid w:val="00DE0BCD"/>
    <w:rsid w:val="00DF19CD"/>
    <w:rsid w:val="00E02BEB"/>
    <w:rsid w:val="00E06472"/>
    <w:rsid w:val="00E11874"/>
    <w:rsid w:val="00E266C3"/>
    <w:rsid w:val="00E40B05"/>
    <w:rsid w:val="00E447FC"/>
    <w:rsid w:val="00E637E3"/>
    <w:rsid w:val="00E64D2D"/>
    <w:rsid w:val="00E71481"/>
    <w:rsid w:val="00E77B3A"/>
    <w:rsid w:val="00E9424D"/>
    <w:rsid w:val="00E96442"/>
    <w:rsid w:val="00EA0CBE"/>
    <w:rsid w:val="00EA2210"/>
    <w:rsid w:val="00EB79C4"/>
    <w:rsid w:val="00ED0566"/>
    <w:rsid w:val="00F15BEE"/>
    <w:rsid w:val="00F23E45"/>
    <w:rsid w:val="00F26B9B"/>
    <w:rsid w:val="00F30AF8"/>
    <w:rsid w:val="00F353A5"/>
    <w:rsid w:val="00F67C08"/>
    <w:rsid w:val="00F67D3B"/>
    <w:rsid w:val="00F76039"/>
    <w:rsid w:val="00F826EB"/>
    <w:rsid w:val="00F960AA"/>
    <w:rsid w:val="00FA36B1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0C2A007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101</Words>
  <Characters>576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76</cp:revision>
  <cp:lastPrinted>2026-06-18T07:01:00Z</cp:lastPrinted>
  <dcterms:created xsi:type="dcterms:W3CDTF">2017-05-17T02:09:00Z</dcterms:created>
  <dcterms:modified xsi:type="dcterms:W3CDTF">2026-06-18T08:26:00Z</dcterms:modified>
</cp:coreProperties>
</file>