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686E9">
      <w:pPr>
        <w:rPr>
          <w:rFonts w:hint="eastAsia" w:ascii="微软雅黑" w:hAnsi="微软雅黑" w:eastAsia="微软雅黑" w:cs="微软雅黑"/>
        </w:rPr>
      </w:pPr>
    </w:p>
    <w:p w14:paraId="73F13ACD">
      <w:pPr>
        <w:ind w:firstLine="640" w:firstLineChars="20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《中华人民共和国民法典》</w:t>
      </w:r>
      <w:r>
        <w:rPr>
          <w:rFonts w:hint="eastAsia" w:ascii="微软雅黑" w:hAnsi="微软雅黑" w:eastAsia="微软雅黑" w:cs="微软雅黑"/>
          <w:sz w:val="24"/>
          <w:szCs w:val="24"/>
        </w:rPr>
        <w:t>是中华人民共和国成立以来第一部以“法典”命名的法律，被誉为 “社会生活的百科全书” 。它在中国特色社会主义法律体系中具有重要地位，是一部固根本、稳预期、利长远的基础性法律。</w:t>
      </w:r>
    </w:p>
    <w:p w14:paraId="69F66866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一、 基本信息与历史意义</w:t>
      </w:r>
    </w:p>
    <w:p w14:paraId="6A518CA1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4"/>
          <w:szCs w:val="24"/>
        </w:rPr>
        <w:t>通过与施行时间：2020年5月28日由第十三届全国人民代表大会第三次会议通过，自2021年1月1日起施行。原有的《婚姻法》、《继承法》、《民法通则》、《收养法》、《担保法》、《合同法》、《物权法》、《侵权责任法》、《民法总则》同时废止。</w:t>
      </w:r>
    </w:p>
    <w:p w14:paraId="7C8F6A56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4"/>
          <w:szCs w:val="24"/>
        </w:rPr>
        <w:t>里程碑意义：它的编纂与出台，标志着中国的民事权利保护进入了全新的“法典时代”，是推进全面依法治国、国家治理体系和治理能力现代化的重大举措。它系统整合了新中国70多年来民事法律实践的经验，是习近平法治思想在民事领域的具体体现。</w:t>
      </w:r>
    </w:p>
    <w:p w14:paraId="11A4F848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二、 主要结构与核心内容</w:t>
      </w:r>
    </w:p>
    <w:p w14:paraId="7269BCE1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民法典共7编、84章、1260条，各编依次为：</w:t>
      </w:r>
    </w:p>
    <w:p w14:paraId="29AFFD98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  总则编：规定了民事活动必须遵循的基本原则和一般性规则，涵盖自然人、法人、非法人组织、民事权利、民事法律行为、代理、民事责任、诉讼时效等基础内容。</w:t>
      </w:r>
    </w:p>
    <w:p w14:paraId="6036DE1F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  物权编：调整因物的归属和利用产生的民事关系。明确了国家、集体、私人的物权受法律平等保护，规定了所有权、用益物权（如土地承包经营权、建设用地使用权）、担保物权（如抵押权、质权）等。</w:t>
      </w:r>
    </w:p>
    <w:p w14:paraId="06ABBDCD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  合同编：规范合同订立、效力、履行、保全、变更转让、终止及违约责任等。涵盖了买卖、借款、租赁、承揽、运输等典型合同，以及保理、物业服务等新增合同类型。</w:t>
      </w:r>
    </w:p>
    <w:p w14:paraId="627C2E53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  人格权编：这是民法典的一大亮点，在世界民法典编纂中具有创新意义。 独立成编，全面规定了生命权、身体权、健康权、姓名权、名称权、肖像权、名誉权、隐私权、个人信息保护等，凸显了对人的尊严和基本权利的尊重与保护。</w:t>
      </w:r>
    </w:p>
    <w:p w14:paraId="3A8254F2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5.  婚姻家庭编：调整因婚姻家庭产生的民事关系，包括结婚、家庭关系、离婚、收养等。强调了树立优良家风、维护平等和睦文明的婚姻家庭关系。</w:t>
      </w:r>
    </w:p>
    <w:p w14:paraId="685F74D1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6.  继承编：规范因继承产生的民事关系，规定了法定继承、遗嘱继承和遗赠、遗产的处理等。</w:t>
      </w:r>
    </w:p>
    <w:p w14:paraId="41BE1158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7.  侵权责任编：规定民事权益受到侵害时，如何追究侵权责任。明确了责任构成、责任方式（如停止侵害、赔偿损失）、以及关于机动车交通事故、医疗损害、环境污染、高空抛物等具体侵权形态的责任规则。</w:t>
      </w:r>
    </w:p>
    <w:p w14:paraId="2B043C2B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三、 核心理念与突出特色</w:t>
      </w:r>
    </w:p>
    <w:p w14:paraId="6EEBC8CB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4"/>
          <w:szCs w:val="24"/>
        </w:rPr>
        <w:t>以人民为中心：贯穿始终的核心理念是保障人民权益。从胎儿利益保护到逝后遗产安排，民法典为公民的“从摇篮到坟墓”提供了全方位的法律保障。</w:t>
      </w:r>
    </w:p>
    <w:p w14:paraId="3ABECC47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4"/>
          <w:szCs w:val="24"/>
        </w:rPr>
        <w:t>平等保护：明确强调保障一切市场主体的平等法律地位和发展权利，国家、集体、私人的物权和其他权利人的物权受法律平等保护。</w:t>
      </w:r>
    </w:p>
    <w:p w14:paraId="74E2FABE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4"/>
          <w:szCs w:val="24"/>
        </w:rPr>
        <w:t>弘扬社会主义核心价值观：将社会主义核心价值观融入法律条文，例如鼓励见义勇为、保护英烈名誉荣誉、强调家庭成员敬老爱幼的义务等。</w:t>
      </w:r>
    </w:p>
    <w:p w14:paraId="14F0D684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回应时代关切：针对社会发展中的新问题，民法典作出了明确规定，例如：</w:t>
      </w:r>
    </w:p>
    <w:p w14:paraId="6683F98E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  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4"/>
          <w:szCs w:val="24"/>
        </w:rPr>
        <w:t>禁止高利放贷。</w:t>
      </w:r>
    </w:p>
    <w:p w14:paraId="207E0C1C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  设立“居住权”，满足“以房养老”等需求。</w:t>
      </w:r>
    </w:p>
    <w:p w14:paraId="1AE406B2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  明确禁止高空抛物，并规定了各方责任。</w:t>
      </w:r>
    </w:p>
    <w:p w14:paraId="66B0F0A7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  加强个人信息保护，规范个人信息处理活动。</w:t>
      </w:r>
    </w:p>
    <w:p w14:paraId="3BD31A52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  规定“离婚冷静期”。</w:t>
      </w:r>
    </w:p>
    <w:p w14:paraId="58129098"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    明确 “自助行为” 制度，在紧急情况下为保护自身权益可采取合理措施。</w:t>
      </w:r>
    </w:p>
    <w:p w14:paraId="226931DA">
      <w:pPr>
        <w:ind w:firstLine="480" w:firstLineChars="200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总结来说，《中华人民共和国民法典》是一部具有中国特色、体现时代精神、反映人民意愿的法典。它的实施，对维护最广大人民的根本利益，规范市场经济秩序，维护社会公平正义，以及推进全面依法治国，都具有极其重大的意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66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2025-11-25T09:33:19Z</dcterms:created>
  <dc:creator>lenovo</dc:creator>
  <cp:lastModifiedBy>刘昌豫</cp:lastModifiedBy>
  <dcterms:modified xsi:type="dcterms:W3CDTF">2025-11-25T09:36:32Z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eyJoZGlkIjoiOWQ0ZDZmZDdiODYzMmFkNTEwMmYwYjZjOWM0NzMzMTYiLCJ1c2VySWQiOiIxNjM1NDY4NzA3In0=</vt:lpwstr>
  </property>
  <property fmtid="{D5CDD505-2E9C-101B-9397-08002B2CF9AE}" pid="4" name="ICV">
    <vt:lpwstr>6020556FE8BF4BFBA4451A532817A4C5_12</vt:lpwstr>
  </property>
</Properties>
</file>